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8CB" w:rsidRPr="001F0DDF" w:rsidRDefault="004F58CB" w:rsidP="004F58CB">
      <w:pPr>
        <w:jc w:val="center"/>
        <w:rPr>
          <w:b/>
          <w:bCs/>
          <w:szCs w:val="24"/>
        </w:rPr>
      </w:pPr>
      <w:r>
        <w:rPr>
          <w:b/>
          <w:bCs/>
          <w:szCs w:val="24"/>
        </w:rPr>
        <w:t>CÁC NỘI DUNG TUẦN SINH HOẠT CÔNG DÂN-HSSV CẦN QUÁN TRIỆT, TRIỂN KHAI ĐẾN LỚP TRONG ĐẠI HỘI LỚP/CHI ĐOÀN NĂM HỌC 2016-2017</w:t>
      </w:r>
    </w:p>
    <w:p w:rsidR="004F58CB" w:rsidRPr="00F64807" w:rsidRDefault="004F58CB" w:rsidP="004F58CB">
      <w:pPr>
        <w:jc w:val="center"/>
        <w:rPr>
          <w:bCs/>
          <w:i/>
          <w:sz w:val="26"/>
          <w:szCs w:val="26"/>
        </w:rPr>
      </w:pPr>
      <w:r w:rsidRPr="00F64807">
        <w:rPr>
          <w:bCs/>
          <w:i/>
          <w:sz w:val="26"/>
          <w:szCs w:val="26"/>
        </w:rPr>
        <w:t xml:space="preserve"> </w:t>
      </w:r>
      <w:r w:rsidRPr="00F64807">
        <w:rPr>
          <w:bCs/>
          <w:i/>
          <w:sz w:val="26"/>
          <w:szCs w:val="26"/>
        </w:rPr>
        <w:t>(Ban hành kèm theo thông báo số</w:t>
      </w:r>
      <w:r>
        <w:rPr>
          <w:bCs/>
          <w:i/>
          <w:sz w:val="26"/>
          <w:szCs w:val="26"/>
        </w:rPr>
        <w:t xml:space="preserve"> </w:t>
      </w:r>
      <w:r>
        <w:rPr>
          <w:bCs/>
          <w:i/>
          <w:sz w:val="26"/>
          <w:szCs w:val="26"/>
        </w:rPr>
        <w:t>200</w:t>
      </w:r>
      <w:r>
        <w:rPr>
          <w:bCs/>
          <w:i/>
          <w:sz w:val="26"/>
          <w:szCs w:val="26"/>
        </w:rPr>
        <w:t xml:space="preserve">/TB-ĐHNL-CTSV ngày </w:t>
      </w:r>
      <w:r>
        <w:rPr>
          <w:bCs/>
          <w:i/>
          <w:sz w:val="26"/>
          <w:szCs w:val="26"/>
        </w:rPr>
        <w:t>05</w:t>
      </w:r>
      <w:r>
        <w:rPr>
          <w:bCs/>
          <w:i/>
          <w:sz w:val="26"/>
          <w:szCs w:val="26"/>
        </w:rPr>
        <w:t xml:space="preserve"> tháng </w:t>
      </w:r>
      <w:r>
        <w:rPr>
          <w:bCs/>
          <w:i/>
          <w:sz w:val="26"/>
          <w:szCs w:val="26"/>
        </w:rPr>
        <w:t>9</w:t>
      </w:r>
      <w:r>
        <w:rPr>
          <w:bCs/>
          <w:i/>
          <w:sz w:val="26"/>
          <w:szCs w:val="26"/>
        </w:rPr>
        <w:t xml:space="preserve"> năm 2016</w:t>
      </w:r>
      <w:r>
        <w:rPr>
          <w:bCs/>
          <w:i/>
          <w:sz w:val="26"/>
          <w:szCs w:val="26"/>
        </w:rPr>
        <w:t xml:space="preserve"> của Hiệu trưởng nhà trường</w:t>
      </w:r>
      <w:r w:rsidRPr="00F64807">
        <w:rPr>
          <w:bCs/>
          <w:i/>
          <w:sz w:val="26"/>
          <w:szCs w:val="26"/>
        </w:rPr>
        <w:t>)</w:t>
      </w:r>
    </w:p>
    <w:p w:rsidR="004F58CB" w:rsidRPr="001F0DDF" w:rsidRDefault="004F58CB" w:rsidP="004F58CB">
      <w:pPr>
        <w:jc w:val="both"/>
        <w:rPr>
          <w:b/>
          <w:bCs/>
          <w:szCs w:val="24"/>
        </w:rPr>
      </w:pPr>
      <w:r w:rsidRPr="001F0DDF">
        <w:rPr>
          <w:b/>
          <w:bCs/>
          <w:szCs w:val="24"/>
        </w:rPr>
        <w:t>A. Căn cứ pháp lý</w:t>
      </w:r>
    </w:p>
    <w:p w:rsidR="004F58CB" w:rsidRPr="001F0DDF" w:rsidRDefault="004F58CB" w:rsidP="004F58CB">
      <w:pPr>
        <w:numPr>
          <w:ilvl w:val="0"/>
          <w:numId w:val="2"/>
        </w:numPr>
        <w:jc w:val="both"/>
        <w:rPr>
          <w:iCs/>
          <w:szCs w:val="24"/>
        </w:rPr>
      </w:pPr>
      <w:r w:rsidRPr="001F0DDF">
        <w:rPr>
          <w:iCs/>
          <w:szCs w:val="24"/>
        </w:rPr>
        <w:t xml:space="preserve">Kế hoạch năm học 2016-2017; </w:t>
      </w:r>
    </w:p>
    <w:p w:rsidR="004F58CB" w:rsidRPr="001F0DDF" w:rsidRDefault="004F58CB" w:rsidP="004F58CB">
      <w:pPr>
        <w:numPr>
          <w:ilvl w:val="0"/>
          <w:numId w:val="2"/>
        </w:numPr>
        <w:jc w:val="both"/>
        <w:rPr>
          <w:iCs/>
          <w:szCs w:val="24"/>
        </w:rPr>
      </w:pPr>
      <w:r w:rsidRPr="001F0DDF">
        <w:rPr>
          <w:iCs/>
          <w:szCs w:val="24"/>
        </w:rPr>
        <w:t>Công văn số 3836/BGDĐT-CTHSSV ngày 08/8/2016 của Bộ GD&amp;ĐT và công văn số 970/ĐHH-CTHSSV ngày 15/8/2016 của ĐHH về việc hướng dẫn tổ chức tuần sinh hoạt công dân - HSSV trong các trường ĐH, CĐ, TC năm học 2016-2017.</w:t>
      </w:r>
    </w:p>
    <w:p w:rsidR="004F58CB" w:rsidRPr="001F0DDF" w:rsidRDefault="004F58CB" w:rsidP="004F58CB">
      <w:pPr>
        <w:jc w:val="both"/>
        <w:rPr>
          <w:b/>
          <w:iCs/>
          <w:szCs w:val="24"/>
        </w:rPr>
      </w:pPr>
      <w:r w:rsidRPr="001F0DDF">
        <w:rPr>
          <w:b/>
          <w:iCs/>
          <w:szCs w:val="24"/>
        </w:rPr>
        <w:t>B. Mục tiêu - Yêu cầu</w:t>
      </w:r>
    </w:p>
    <w:p w:rsidR="004F58CB" w:rsidRPr="001F0DDF" w:rsidRDefault="004F58CB" w:rsidP="004F58CB">
      <w:pPr>
        <w:pStyle w:val="NormalWeb"/>
        <w:numPr>
          <w:ilvl w:val="0"/>
          <w:numId w:val="3"/>
        </w:numPr>
        <w:spacing w:before="0" w:after="0"/>
        <w:jc w:val="both"/>
        <w:rPr>
          <w:sz w:val="24"/>
          <w:szCs w:val="24"/>
        </w:rPr>
      </w:pPr>
      <w:r w:rsidRPr="001F0DDF">
        <w:rPr>
          <w:sz w:val="24"/>
          <w:szCs w:val="24"/>
        </w:rPr>
        <w:t>Nâng cao nhận thức người học về đường lối, chủ trương của Đảng, chính sách, pháp luật của Nhà nước; Trang bị đầy đủ, kịp thời một số thông tin cơ bản và cần thiết về tình hình kinh tế, chính trị, xã hội trong nước và quốc tế.</w:t>
      </w:r>
    </w:p>
    <w:p w:rsidR="004F58CB" w:rsidRPr="001F0DDF" w:rsidRDefault="004F58CB" w:rsidP="004F58CB">
      <w:pPr>
        <w:pStyle w:val="NormalWeb"/>
        <w:numPr>
          <w:ilvl w:val="0"/>
          <w:numId w:val="3"/>
        </w:numPr>
        <w:spacing w:before="0" w:after="0"/>
        <w:jc w:val="both"/>
        <w:rPr>
          <w:sz w:val="24"/>
          <w:szCs w:val="24"/>
        </w:rPr>
      </w:pPr>
      <w:r w:rsidRPr="001F0DDF">
        <w:rPr>
          <w:sz w:val="24"/>
          <w:szCs w:val="24"/>
        </w:rPr>
        <w:t>Giúp người học hiểu rõ quyền lợi, nghĩa vụ, ý thức trách nhiệm của công dân - HSSV thông qua công tác tuyên truyền, phổ biến, giáo dục pháp luật, các quy chế, quy định về đào tạo, chế độ chính sách, khen thưởng, kỷ luật về công tác HSSV; Phương hướng nhiệm vụ năm học 2016 - 2017, nhiệm vụ của người họ</w:t>
      </w:r>
      <w:bookmarkStart w:id="0" w:name="_GoBack"/>
      <w:bookmarkEnd w:id="0"/>
      <w:r w:rsidRPr="001F0DDF">
        <w:rPr>
          <w:sz w:val="24"/>
          <w:szCs w:val="24"/>
        </w:rPr>
        <w:t>c nhằm đáp ứng yêu cầu đào tạo, rèn luyện và nhu cầu của xã hội.</w:t>
      </w:r>
    </w:p>
    <w:p w:rsidR="004F58CB" w:rsidRPr="001F0DDF" w:rsidRDefault="004F58CB" w:rsidP="004F58CB">
      <w:pPr>
        <w:pStyle w:val="NormalWeb"/>
        <w:numPr>
          <w:ilvl w:val="0"/>
          <w:numId w:val="3"/>
        </w:numPr>
        <w:spacing w:before="0" w:after="0"/>
        <w:jc w:val="both"/>
        <w:rPr>
          <w:sz w:val="24"/>
          <w:szCs w:val="24"/>
        </w:rPr>
      </w:pPr>
      <w:r w:rsidRPr="001F0DDF">
        <w:rPr>
          <w:sz w:val="24"/>
          <w:szCs w:val="24"/>
        </w:rPr>
        <w:t>Việc tổ chức “Tuần sinh hoạt công dân - HSSV” năm học 2016 - 2017 phải được tiến hành nghiêm túc, phù hợp, đạt hiệu quả giáo dục cao; Có thảo luận, đối thoại, viết thu hoạch, đánh giá cuối đợt học.</w:t>
      </w:r>
    </w:p>
    <w:p w:rsidR="004F58CB" w:rsidRPr="001F0DDF" w:rsidRDefault="004F58CB" w:rsidP="004F58CB">
      <w:pPr>
        <w:pStyle w:val="NormalWeb"/>
        <w:spacing w:before="0" w:after="0"/>
        <w:jc w:val="both"/>
        <w:rPr>
          <w:b/>
          <w:sz w:val="24"/>
          <w:szCs w:val="24"/>
        </w:rPr>
      </w:pPr>
      <w:r w:rsidRPr="001F0DDF">
        <w:rPr>
          <w:b/>
          <w:sz w:val="24"/>
          <w:szCs w:val="24"/>
        </w:rPr>
        <w:t>C. Nội dung theo yêu cầu của Bộ GD&amp;ĐT và ĐHH</w:t>
      </w:r>
    </w:p>
    <w:p w:rsidR="004F58CB" w:rsidRPr="001F0DDF" w:rsidRDefault="004F58CB" w:rsidP="004F58CB">
      <w:pPr>
        <w:pStyle w:val="ListParagraph"/>
        <w:numPr>
          <w:ilvl w:val="0"/>
          <w:numId w:val="1"/>
        </w:numPr>
        <w:spacing w:after="0" w:line="240" w:lineRule="auto"/>
        <w:ind w:left="426"/>
        <w:jc w:val="both"/>
        <w:rPr>
          <w:rFonts w:ascii="Times New Roman" w:hAnsi="Times New Roman"/>
          <w:sz w:val="24"/>
          <w:szCs w:val="26"/>
        </w:rPr>
      </w:pPr>
      <w:r w:rsidRPr="001F0DDF">
        <w:rPr>
          <w:rFonts w:ascii="Times New Roman" w:hAnsi="Times New Roman"/>
          <w:sz w:val="24"/>
          <w:szCs w:val="26"/>
        </w:rPr>
        <w:t>Quán triệt các nội dung đổi mới căn bản và toàn diện giáo dục và đào tạo theo tinh thần Nghị quyết Đại hội đại biểu toàn quốc lần thứ XII của Đảng</w:t>
      </w:r>
    </w:p>
    <w:p w:rsidR="004F58CB" w:rsidRPr="001F0DDF" w:rsidRDefault="004F58CB" w:rsidP="004F58CB">
      <w:pPr>
        <w:pStyle w:val="ListParagraph"/>
        <w:numPr>
          <w:ilvl w:val="0"/>
          <w:numId w:val="1"/>
        </w:numPr>
        <w:spacing w:after="0" w:line="240" w:lineRule="auto"/>
        <w:ind w:left="426"/>
        <w:jc w:val="both"/>
        <w:rPr>
          <w:rFonts w:ascii="Times New Roman" w:hAnsi="Times New Roman"/>
          <w:sz w:val="24"/>
          <w:szCs w:val="26"/>
        </w:rPr>
      </w:pPr>
      <w:r w:rsidRPr="001F0DDF">
        <w:rPr>
          <w:rFonts w:ascii="Times New Roman" w:hAnsi="Times New Roman"/>
          <w:sz w:val="24"/>
          <w:szCs w:val="26"/>
        </w:rPr>
        <w:t>Kế hoạch hành động của Bộ Giáo dục và Đào tạo triển khai Chương trình hành động của Chính phủ thực hiện Nghị quyết số 29-NQ/TW về đổi mới căn bản, toàn diện giáo dục và đào tạo (</w:t>
      </w:r>
      <w:r w:rsidRPr="001F0DDF">
        <w:rPr>
          <w:rFonts w:ascii="Times New Roman" w:hAnsi="Times New Roman"/>
          <w:i/>
          <w:sz w:val="24"/>
          <w:szCs w:val="26"/>
        </w:rPr>
        <w:t>chú trọng nội dung liên quan tới giáo dục trong thời kỳ đẩy mạnh công nghiệp hóa, hiện đại hóa trong điều kiện kinh tế thị trường định hướng xã hội chủ nghĩa và hội nhập quốc tế, gắn với phát triển kinh tế tri thức, bảo vệ tài nguyên, môi trường</w:t>
      </w:r>
      <w:r w:rsidRPr="001F0DDF">
        <w:rPr>
          <w:rFonts w:ascii="Times New Roman" w:hAnsi="Times New Roman"/>
          <w:sz w:val="24"/>
          <w:szCs w:val="26"/>
        </w:rPr>
        <w:t xml:space="preserve">). </w:t>
      </w:r>
    </w:p>
    <w:p w:rsidR="004F58CB" w:rsidRPr="001F0DDF" w:rsidRDefault="004F58CB" w:rsidP="004F58CB">
      <w:pPr>
        <w:pStyle w:val="ListParagraph"/>
        <w:numPr>
          <w:ilvl w:val="0"/>
          <w:numId w:val="1"/>
        </w:numPr>
        <w:spacing w:after="0" w:line="240" w:lineRule="auto"/>
        <w:ind w:left="426"/>
        <w:jc w:val="both"/>
        <w:rPr>
          <w:rFonts w:ascii="Times New Roman" w:hAnsi="Times New Roman"/>
          <w:sz w:val="24"/>
          <w:szCs w:val="26"/>
        </w:rPr>
      </w:pPr>
      <w:r w:rsidRPr="001F0DDF">
        <w:rPr>
          <w:rFonts w:ascii="Times New Roman" w:hAnsi="Times New Roman"/>
          <w:sz w:val="24"/>
          <w:szCs w:val="26"/>
        </w:rPr>
        <w:t xml:space="preserve">Quán triệt phương hướng nhiệm vụ của Nghị quyết Đại hội Đảng bộ cơ sở, liên hệ với các nội dung đang triển khai ở địa phương và cả nước; các nội dung cốt lõi trong các Văn kiện Đại hội đại biểu toàn quốc lần thứ XII của Đảng; </w:t>
      </w:r>
    </w:p>
    <w:p w:rsidR="004F58CB" w:rsidRPr="001F0DDF" w:rsidRDefault="004F58CB" w:rsidP="004F58CB">
      <w:pPr>
        <w:pStyle w:val="ListParagraph"/>
        <w:numPr>
          <w:ilvl w:val="0"/>
          <w:numId w:val="1"/>
        </w:numPr>
        <w:spacing w:after="0" w:line="240" w:lineRule="auto"/>
        <w:ind w:left="426"/>
        <w:jc w:val="both"/>
        <w:rPr>
          <w:rFonts w:ascii="Times New Roman" w:hAnsi="Times New Roman"/>
          <w:sz w:val="24"/>
          <w:szCs w:val="26"/>
        </w:rPr>
      </w:pPr>
      <w:r w:rsidRPr="001F0DDF">
        <w:rPr>
          <w:rFonts w:ascii="Times New Roman" w:hAnsi="Times New Roman"/>
          <w:sz w:val="24"/>
          <w:szCs w:val="26"/>
        </w:rPr>
        <w:t xml:space="preserve">Tiếp tục đẩy mạnh học tập và làm theo tư tưởng, đạo đức, phong cách Hồ Chí Minh theo Chỉ thị số 05-CT/TW ngày 15/5/2016 của Bộ Chính trị khóa XII. </w:t>
      </w:r>
    </w:p>
    <w:p w:rsidR="004F58CB" w:rsidRPr="001F0DDF" w:rsidRDefault="004F58CB" w:rsidP="004F58CB">
      <w:pPr>
        <w:pStyle w:val="ListParagraph"/>
        <w:numPr>
          <w:ilvl w:val="0"/>
          <w:numId w:val="1"/>
        </w:numPr>
        <w:spacing w:after="0" w:line="240" w:lineRule="auto"/>
        <w:ind w:left="426"/>
        <w:jc w:val="both"/>
        <w:rPr>
          <w:rFonts w:ascii="Times New Roman" w:hAnsi="Times New Roman"/>
          <w:sz w:val="24"/>
          <w:szCs w:val="26"/>
        </w:rPr>
      </w:pPr>
      <w:r w:rsidRPr="001F0DDF">
        <w:rPr>
          <w:rFonts w:ascii="Times New Roman" w:hAnsi="Times New Roman"/>
          <w:sz w:val="24"/>
          <w:szCs w:val="26"/>
        </w:rPr>
        <w:t>Tiếp tục tổ chức giáo dục chuẩn mực đạo đức nghề nghiệp cho HSSV phù hợp ngành đào tạo và gắn với trách nhiệm của HSSV trong giai đoạn hiện nay.</w:t>
      </w:r>
    </w:p>
    <w:p w:rsidR="004F58CB" w:rsidRPr="001F0DDF" w:rsidRDefault="004F58CB" w:rsidP="004F58CB">
      <w:pPr>
        <w:pStyle w:val="ListParagraph"/>
        <w:numPr>
          <w:ilvl w:val="0"/>
          <w:numId w:val="1"/>
        </w:numPr>
        <w:spacing w:after="0" w:line="240" w:lineRule="auto"/>
        <w:ind w:left="426"/>
        <w:jc w:val="both"/>
        <w:rPr>
          <w:rStyle w:val="Hyperlink"/>
          <w:rFonts w:ascii="Times New Roman" w:hAnsi="Times New Roman"/>
          <w:color w:val="auto"/>
          <w:sz w:val="24"/>
          <w:szCs w:val="26"/>
        </w:rPr>
      </w:pPr>
      <w:r w:rsidRPr="001F0DDF">
        <w:rPr>
          <w:rFonts w:ascii="Times New Roman" w:hAnsi="Times New Roman"/>
          <w:sz w:val="24"/>
          <w:szCs w:val="26"/>
        </w:rPr>
        <w:t>Tuyên truyền, phổ biến, giáo dục các</w:t>
      </w:r>
      <w:r w:rsidRPr="001F0DDF">
        <w:rPr>
          <w:rFonts w:ascii="Times New Roman" w:hAnsi="Times New Roman"/>
          <w:sz w:val="24"/>
          <w:szCs w:val="26"/>
          <w:lang w:val="vi-VN"/>
        </w:rPr>
        <w:t xml:space="preserve"> quy định pháp luật cơ bản, cần thiết liên quan tới </w:t>
      </w:r>
      <w:r w:rsidRPr="001F0DDF">
        <w:rPr>
          <w:rFonts w:ascii="Times New Roman" w:hAnsi="Times New Roman"/>
          <w:sz w:val="24"/>
          <w:szCs w:val="26"/>
        </w:rPr>
        <w:t xml:space="preserve">HSSV </w:t>
      </w:r>
      <w:r w:rsidRPr="001F0DDF">
        <w:rPr>
          <w:rFonts w:ascii="Times New Roman" w:hAnsi="Times New Roman"/>
          <w:sz w:val="24"/>
          <w:szCs w:val="26"/>
          <w:lang w:val="vi-VN"/>
        </w:rPr>
        <w:t xml:space="preserve">như: Quyền con người, quyền công dân theo Hiến pháp năm 2013, </w:t>
      </w:r>
      <w:r w:rsidRPr="001F0DDF">
        <w:rPr>
          <w:rFonts w:ascii="Times New Roman" w:hAnsi="Times New Roman"/>
          <w:sz w:val="24"/>
          <w:szCs w:val="26"/>
        </w:rPr>
        <w:t xml:space="preserve">nội dung liên quan tới người học được đề cập tại Luật Giáo dục năm 2005 và Luật sửa đổi, bổ sung một số điều của Luật Giáo dục năm 2009; Luật Giáo dục đại học năm 2012, </w:t>
      </w:r>
      <w:hyperlink r:id="rId6" w:history="1">
        <w:r w:rsidRPr="001F0DDF">
          <w:rPr>
            <w:rStyle w:val="Hyperlink"/>
            <w:rFonts w:ascii="Times New Roman" w:hAnsi="Times New Roman"/>
            <w:color w:val="auto"/>
            <w:sz w:val="24"/>
            <w:szCs w:val="26"/>
            <w:u w:val="none"/>
          </w:rPr>
          <w:t>Luật Nghĩa vụ quân sự số 78/2015/QH13</w:t>
        </w:r>
      </w:hyperlink>
      <w:r w:rsidRPr="001F0DDF">
        <w:rPr>
          <w:rFonts w:ascii="Times New Roman" w:hAnsi="Times New Roman"/>
          <w:sz w:val="24"/>
          <w:szCs w:val="26"/>
        </w:rPr>
        <w:t xml:space="preserve">; </w:t>
      </w:r>
      <w:hyperlink r:id="rId7" w:history="1">
        <w:r w:rsidRPr="001F0DDF">
          <w:rPr>
            <w:rStyle w:val="Hyperlink"/>
            <w:rFonts w:ascii="Times New Roman" w:hAnsi="Times New Roman"/>
            <w:color w:val="auto"/>
            <w:sz w:val="24"/>
            <w:szCs w:val="26"/>
            <w:u w:val="none"/>
          </w:rPr>
          <w:t>Luật An toàn thông tin mạng số 86/2015/QH13</w:t>
        </w:r>
      </w:hyperlink>
      <w:r w:rsidRPr="001F0DDF">
        <w:rPr>
          <w:rStyle w:val="Hyperlink"/>
          <w:rFonts w:ascii="Times New Roman" w:hAnsi="Times New Roman"/>
          <w:color w:val="auto"/>
          <w:sz w:val="24"/>
          <w:szCs w:val="26"/>
          <w:u w:val="none"/>
        </w:rPr>
        <w:t>.</w:t>
      </w:r>
    </w:p>
    <w:p w:rsidR="004F58CB" w:rsidRPr="001F0DDF" w:rsidRDefault="004F58CB" w:rsidP="004F58CB">
      <w:pPr>
        <w:pStyle w:val="ListParagraph"/>
        <w:numPr>
          <w:ilvl w:val="0"/>
          <w:numId w:val="1"/>
        </w:numPr>
        <w:spacing w:after="0" w:line="240" w:lineRule="auto"/>
        <w:ind w:left="426"/>
        <w:jc w:val="both"/>
        <w:rPr>
          <w:rFonts w:ascii="Times New Roman" w:hAnsi="Times New Roman"/>
          <w:sz w:val="24"/>
          <w:szCs w:val="26"/>
        </w:rPr>
      </w:pPr>
      <w:r w:rsidRPr="001F0DDF">
        <w:rPr>
          <w:rFonts w:ascii="Times New Roman" w:hAnsi="Times New Roman"/>
          <w:sz w:val="24"/>
          <w:szCs w:val="26"/>
        </w:rPr>
        <w:t xml:space="preserve">Quán triệt Nghị quyết Đại hội đại biểu Đảng Bộ Đại học Huế lần thứ V, nhiệm kỳ 2015-2020; Nghị quyết Đại hội đại biểu Đảng Ủy trường Đại học Nông lâm - ĐHH lần thứ V, nhiệm kỳ 2015-2020; Kế hoạch tổ chức kỷ niệm 60 năm thành lập Đại học Huế (1957-2017) và Kế hoạch tổ chức kỷ niệm 50 năm thành lập trường ĐHNL (1967-2017). </w:t>
      </w:r>
    </w:p>
    <w:p w:rsidR="004F58CB" w:rsidRPr="001F0DDF" w:rsidRDefault="004F58CB" w:rsidP="004F58CB">
      <w:pPr>
        <w:pStyle w:val="ListParagraph"/>
        <w:numPr>
          <w:ilvl w:val="0"/>
          <w:numId w:val="1"/>
        </w:numPr>
        <w:spacing w:after="0" w:line="240" w:lineRule="auto"/>
        <w:ind w:left="426"/>
        <w:jc w:val="both"/>
        <w:rPr>
          <w:rFonts w:ascii="Times New Roman" w:hAnsi="Times New Roman"/>
          <w:sz w:val="24"/>
          <w:szCs w:val="26"/>
        </w:rPr>
      </w:pPr>
      <w:r w:rsidRPr="001F0DDF">
        <w:rPr>
          <w:rFonts w:ascii="Times New Roman" w:hAnsi="Times New Roman"/>
          <w:sz w:val="24"/>
          <w:szCs w:val="26"/>
          <w:lang w:val="vi-VN"/>
        </w:rPr>
        <w:lastRenderedPageBreak/>
        <w:t xml:space="preserve">Đẩy mạnh tuyên truyền phổ biến, giáo dục pháp luật về an toàn giao thông cho HSSV tập trung vào các nội dung: </w:t>
      </w:r>
      <w:r w:rsidRPr="001F0DDF">
        <w:rPr>
          <w:rFonts w:ascii="Times New Roman" w:hAnsi="Times New Roman"/>
          <w:i/>
          <w:sz w:val="24"/>
          <w:szCs w:val="26"/>
          <w:lang w:val="vi-VN"/>
        </w:rPr>
        <w:t>Thực hiện quy tắc giao thông đường bộ, đội mũ bảo hiểm đạt chuẩn, đúng quy cách và không điều khiển phương tiện tham gia giao thông khi đã uống rượu, bia; Vận động HSSV thực hiện các hành vi văn hoá khi tham gia giao thông: Tự giác chấp hành pháp luật về an toàn giao thông; Chủ động nhường đường, thân thiện với người đồng hành; Không nói tục, chửi bậy, hút thuốc lá và vứt rác bừa bãi; Hạn chế sử dụng còi, sẵn sàng giúp đỡ người bị tai nạn giao thông; mặc áo phao khi đi đò</w:t>
      </w:r>
      <w:r w:rsidRPr="001F0DDF">
        <w:rPr>
          <w:rFonts w:ascii="Times New Roman" w:hAnsi="Times New Roman"/>
          <w:sz w:val="24"/>
          <w:szCs w:val="26"/>
          <w:lang w:val="vi-VN"/>
        </w:rPr>
        <w:t>.</w:t>
      </w:r>
    </w:p>
    <w:p w:rsidR="004F58CB" w:rsidRPr="001F0DDF" w:rsidRDefault="004F58CB" w:rsidP="004F58CB">
      <w:pPr>
        <w:pStyle w:val="ListParagraph"/>
        <w:numPr>
          <w:ilvl w:val="0"/>
          <w:numId w:val="1"/>
        </w:numPr>
        <w:spacing w:after="0" w:line="240" w:lineRule="auto"/>
        <w:ind w:left="426"/>
        <w:jc w:val="both"/>
        <w:rPr>
          <w:rFonts w:ascii="Times New Roman" w:hAnsi="Times New Roman"/>
          <w:sz w:val="24"/>
          <w:szCs w:val="26"/>
        </w:rPr>
      </w:pPr>
      <w:r w:rsidRPr="001F0DDF">
        <w:rPr>
          <w:rFonts w:ascii="Times New Roman" w:hAnsi="Times New Roman"/>
          <w:sz w:val="24"/>
          <w:szCs w:val="26"/>
          <w:lang w:val="vi-VN"/>
        </w:rPr>
        <w:t>Công tác y tế trường học: Khám sức khỏe đầu năm, khám sức khỏe cho sinh viên ra trường, công tác phòng chống dịch bệnh, bệnh, tật trong trường học, giáo dục kỹ năng sống, ý thức tự chăm sóc, rèn luyện thân thể, vệ sinh cá nhân, vệ sinh môi trường, giáo dục kiến thức về gia đình, giới, sức khỏe sinh sản vị thành niên, sức khỏe tình dục; tuyên truyền về ý nghĩa và trách nhiệm của việc tham gia bảo hiểm y tế bắt buộc</w:t>
      </w:r>
      <w:r w:rsidRPr="001F0DDF">
        <w:rPr>
          <w:rFonts w:ascii="Times New Roman" w:hAnsi="Times New Roman"/>
          <w:sz w:val="24"/>
          <w:szCs w:val="26"/>
        </w:rPr>
        <w:t>: 100 % HSSV tham gia bảo hiểm y tế</w:t>
      </w:r>
      <w:r w:rsidRPr="001F0DDF">
        <w:rPr>
          <w:rFonts w:ascii="Times New Roman" w:hAnsi="Times New Roman"/>
          <w:sz w:val="24"/>
          <w:szCs w:val="26"/>
          <w:lang w:val="vi-VN"/>
        </w:rPr>
        <w:t xml:space="preserve"> (</w:t>
      </w:r>
      <w:r w:rsidRPr="001F0DDF">
        <w:rPr>
          <w:rFonts w:ascii="Times New Roman" w:hAnsi="Times New Roman"/>
          <w:i/>
          <w:sz w:val="24"/>
          <w:szCs w:val="26"/>
          <w:lang w:val="vi-VN"/>
        </w:rPr>
        <w:t>thực hiện chỉ đạo của Thủ tướng Chính phủ tại Quyết định số 1167/QĐ-TTg ngày 28/6/2016 về việc điều chỉnh giao chỉ tiêu thực hiện bảo hiểm y tế giai đoạn 2016 - 2020</w:t>
      </w:r>
      <w:r w:rsidRPr="001F0DDF">
        <w:rPr>
          <w:rFonts w:ascii="Times New Roman" w:hAnsi="Times New Roman"/>
          <w:sz w:val="24"/>
          <w:szCs w:val="26"/>
          <w:lang w:val="vi-VN"/>
        </w:rPr>
        <w:t xml:space="preserve">). Luật phòng, chống tác hại của thuốc lá; </w:t>
      </w:r>
    </w:p>
    <w:p w:rsidR="004F58CB" w:rsidRDefault="004F58CB" w:rsidP="004F58CB">
      <w:pPr>
        <w:pStyle w:val="ListParagraph"/>
        <w:numPr>
          <w:ilvl w:val="0"/>
          <w:numId w:val="1"/>
        </w:numPr>
        <w:spacing w:after="0" w:line="240" w:lineRule="auto"/>
        <w:ind w:left="426"/>
        <w:jc w:val="both"/>
        <w:rPr>
          <w:rFonts w:ascii="Times New Roman" w:hAnsi="Times New Roman"/>
          <w:sz w:val="24"/>
          <w:szCs w:val="26"/>
        </w:rPr>
      </w:pPr>
      <w:r w:rsidRPr="001F0DDF">
        <w:rPr>
          <w:rFonts w:ascii="Times New Roman" w:hAnsi="Times New Roman"/>
          <w:sz w:val="24"/>
          <w:szCs w:val="26"/>
          <w:lang w:val="vi-VN"/>
        </w:rPr>
        <w:t xml:space="preserve">Tuyên truyền cho HSSV </w:t>
      </w:r>
      <w:r w:rsidRPr="001F0DDF">
        <w:rPr>
          <w:rFonts w:ascii="Times New Roman" w:hAnsi="Times New Roman"/>
          <w:sz w:val="24"/>
          <w:szCs w:val="26"/>
        </w:rPr>
        <w:t xml:space="preserve">về </w:t>
      </w:r>
      <w:r w:rsidRPr="001F0DDF">
        <w:rPr>
          <w:rFonts w:ascii="Times New Roman" w:hAnsi="Times New Roman"/>
          <w:sz w:val="24"/>
          <w:szCs w:val="26"/>
          <w:lang w:val="vi-VN"/>
        </w:rPr>
        <w:t>mục đích</w:t>
      </w:r>
      <w:r w:rsidRPr="001F0DDF">
        <w:rPr>
          <w:rFonts w:ascii="Times New Roman" w:hAnsi="Times New Roman"/>
          <w:sz w:val="24"/>
          <w:szCs w:val="26"/>
        </w:rPr>
        <w:t xml:space="preserve">, </w:t>
      </w:r>
      <w:r w:rsidRPr="001F0DDF">
        <w:rPr>
          <w:rFonts w:ascii="Times New Roman" w:hAnsi="Times New Roman"/>
          <w:sz w:val="24"/>
          <w:szCs w:val="26"/>
          <w:lang w:val="vi-VN"/>
        </w:rPr>
        <w:t>ý nghĩa khi tham gia hoạt động tình nguyện, các chế độ, chính sách cho HSSV khi tham gia hoạt động tình nguyện theo Quyết định số 57/2015/QĐ-TTg ngày 16/11/2015 của Thủ tướng Chính phủ.</w:t>
      </w:r>
      <w:r w:rsidRPr="001F0DDF">
        <w:rPr>
          <w:rFonts w:ascii="Times New Roman" w:hAnsi="Times New Roman"/>
          <w:sz w:val="24"/>
          <w:szCs w:val="26"/>
        </w:rPr>
        <w:t xml:space="preserve"> </w:t>
      </w:r>
      <w:r w:rsidRPr="001F0DDF">
        <w:rPr>
          <w:rFonts w:ascii="Times New Roman" w:hAnsi="Times New Roman"/>
          <w:sz w:val="24"/>
          <w:szCs w:val="26"/>
          <w:lang w:val="vi-VN"/>
        </w:rPr>
        <w:t xml:space="preserve">Quán triệt, phổ biến các nội dung công tác giáo dục thể chất, các hoạt động văn hoá, văn nghệ, thể thao; công tác thanh niên, thiếu niên Chữ thập đỏ gắn với Chương trình công tác Đoàn, Hội, Đội và phong trào thanh niên trường học năm học 2016 - 2017. </w:t>
      </w:r>
    </w:p>
    <w:p w:rsidR="004F58CB" w:rsidRPr="001F0DDF" w:rsidRDefault="004F58CB" w:rsidP="004F58CB">
      <w:pPr>
        <w:pStyle w:val="ListParagraph"/>
        <w:spacing w:after="0" w:line="240" w:lineRule="auto"/>
        <w:ind w:left="426"/>
        <w:jc w:val="both"/>
        <w:rPr>
          <w:rFonts w:ascii="Times New Roman" w:hAnsi="Times New Roman"/>
          <w:sz w:val="24"/>
          <w:szCs w:val="26"/>
        </w:rPr>
      </w:pPr>
    </w:p>
    <w:p w:rsidR="00246F01" w:rsidRPr="004F58CB" w:rsidRDefault="004F58CB" w:rsidP="004F58CB">
      <w:pPr>
        <w:jc w:val="right"/>
        <w:rPr>
          <w:b/>
        </w:rPr>
      </w:pPr>
      <w:r w:rsidRPr="004F58CB">
        <w:rPr>
          <w:b/>
        </w:rPr>
        <w:t>TRƯỜNG ĐẠI HỌC NÔNG LÂM-ĐẠI HỌC HUẾ</w:t>
      </w:r>
    </w:p>
    <w:sectPr w:rsidR="00246F01" w:rsidRPr="004F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83BA0"/>
    <w:multiLevelType w:val="hybridMultilevel"/>
    <w:tmpl w:val="4D4CE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8C5AC1"/>
    <w:multiLevelType w:val="hybridMultilevel"/>
    <w:tmpl w:val="D8D4BF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2620E4"/>
    <w:multiLevelType w:val="hybridMultilevel"/>
    <w:tmpl w:val="174E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8CB"/>
    <w:rsid w:val="001D46E7"/>
    <w:rsid w:val="00246F01"/>
    <w:rsid w:val="004F58CB"/>
    <w:rsid w:val="00BD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8CB"/>
    <w:pPr>
      <w:widowControl w:val="0"/>
      <w:spacing w:after="0" w:line="240" w:lineRule="auto"/>
    </w:pPr>
    <w:rPr>
      <w:rFonts w:eastAsia="SimSu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58CB"/>
    <w:rPr>
      <w:color w:val="0000FF"/>
      <w:u w:val="single"/>
    </w:rPr>
  </w:style>
  <w:style w:type="paragraph" w:styleId="NormalWeb">
    <w:name w:val="Normal (Web)"/>
    <w:basedOn w:val="Normal"/>
    <w:rsid w:val="004F58CB"/>
    <w:pPr>
      <w:widowControl/>
      <w:spacing w:before="125" w:after="125"/>
    </w:pPr>
    <w:rPr>
      <w:rFonts w:eastAsia="Times New Roman"/>
      <w:kern w:val="0"/>
      <w:sz w:val="22"/>
      <w:szCs w:val="22"/>
      <w:lang w:eastAsia="en-US"/>
    </w:rPr>
  </w:style>
  <w:style w:type="paragraph" w:styleId="ListParagraph">
    <w:name w:val="List Paragraph"/>
    <w:basedOn w:val="Normal"/>
    <w:uiPriority w:val="34"/>
    <w:qFormat/>
    <w:rsid w:val="004F58CB"/>
    <w:pPr>
      <w:widowControl/>
      <w:spacing w:after="200" w:line="276" w:lineRule="auto"/>
      <w:ind w:left="720"/>
      <w:contextualSpacing/>
    </w:pPr>
    <w:rPr>
      <w:rFonts w:ascii="Calibri" w:eastAsia="Calibri" w:hAnsi="Calibri"/>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8CB"/>
    <w:pPr>
      <w:widowControl w:val="0"/>
      <w:spacing w:after="0" w:line="240" w:lineRule="auto"/>
    </w:pPr>
    <w:rPr>
      <w:rFonts w:eastAsia="SimSu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58CB"/>
    <w:rPr>
      <w:color w:val="0000FF"/>
      <w:u w:val="single"/>
    </w:rPr>
  </w:style>
  <w:style w:type="paragraph" w:styleId="NormalWeb">
    <w:name w:val="Normal (Web)"/>
    <w:basedOn w:val="Normal"/>
    <w:rsid w:val="004F58CB"/>
    <w:pPr>
      <w:widowControl/>
      <w:spacing w:before="125" w:after="125"/>
    </w:pPr>
    <w:rPr>
      <w:rFonts w:eastAsia="Times New Roman"/>
      <w:kern w:val="0"/>
      <w:sz w:val="22"/>
      <w:szCs w:val="22"/>
      <w:lang w:eastAsia="en-US"/>
    </w:rPr>
  </w:style>
  <w:style w:type="paragraph" w:styleId="ListParagraph">
    <w:name w:val="List Paragraph"/>
    <w:basedOn w:val="Normal"/>
    <w:uiPriority w:val="34"/>
    <w:qFormat/>
    <w:rsid w:val="004F58CB"/>
    <w:pPr>
      <w:widowControl/>
      <w:spacing w:after="200" w:line="276" w:lineRule="auto"/>
      <w:ind w:left="720"/>
      <w:contextualSpacing/>
    </w:pPr>
    <w:rPr>
      <w:rFonts w:ascii="Calibri" w:eastAsia="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uatvietnam.vn/default.aspx?tabid=684&amp;q=86%2f2015%2fQH13&amp;st=&amp;i=identity&amp;p=1&amp;size=10&amp;by=doc_publicdate&amp;order=de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uatvietnam.vn/default.aspx?tabid=684&amp;q=78%2f2015%2fQH13&amp;st=&amp;i=all&amp;p=1&amp;size=10&amp;by=doc_publicdate&amp;order=des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2016-09-05T10:37:00Z</cp:lastPrinted>
  <dcterms:created xsi:type="dcterms:W3CDTF">2016-09-05T10:25:00Z</dcterms:created>
  <dcterms:modified xsi:type="dcterms:W3CDTF">2016-09-05T10:37:00Z</dcterms:modified>
</cp:coreProperties>
</file>